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74" w:rsidRDefault="00151974" w:rsidP="00151974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lang w:val="sq-AL" w:bidi="en-GB"/>
        </w:rPr>
      </w:pPr>
    </w:p>
    <w:p w:rsidR="00151974" w:rsidRPr="00D35199" w:rsidRDefault="00151974" w:rsidP="007B1C7D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lang w:val="sq-AL" w:bidi="en-GB"/>
        </w:rPr>
      </w:pPr>
      <w:r w:rsidRPr="00D35199">
        <w:rPr>
          <w:rFonts w:ascii="Times New Roman" w:hAnsi="Times New Roman" w:cs="Times New Roman"/>
          <w:color w:val="auto"/>
          <w:sz w:val="24"/>
          <w:lang w:val="sq-AL" w:bidi="en-GB"/>
        </w:rPr>
        <w:t>RAPORT</w:t>
      </w:r>
    </w:p>
    <w:p w:rsidR="00151974" w:rsidRDefault="00151974" w:rsidP="007B1C7D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lang w:val="sq-AL"/>
        </w:rPr>
      </w:pPr>
      <w:r>
        <w:rPr>
          <w:rFonts w:ascii="Times New Roman" w:hAnsi="Times New Roman" w:cs="Times New Roman"/>
          <w:color w:val="auto"/>
          <w:sz w:val="24"/>
          <w:lang w:val="sq-AL" w:bidi="en-GB"/>
        </w:rPr>
        <w:t xml:space="preserve">          </w:t>
      </w:r>
      <w:r w:rsidRPr="00D35199">
        <w:rPr>
          <w:rFonts w:ascii="Times New Roman" w:hAnsi="Times New Roman" w:cs="Times New Roman"/>
          <w:color w:val="auto"/>
          <w:sz w:val="24"/>
          <w:lang w:val="sq-AL" w:bidi="en-GB"/>
        </w:rPr>
        <w:t>PËR REZULTATET E KONSULTIMIT PUBLIK T</w:t>
      </w:r>
      <w:r>
        <w:rPr>
          <w:rFonts w:ascii="Times New Roman" w:hAnsi="Times New Roman" w:cs="Times New Roman"/>
          <w:color w:val="auto"/>
          <w:sz w:val="24"/>
          <w:lang w:val="sq-AL" w:bidi="en-GB"/>
        </w:rPr>
        <w:t>Ë</w:t>
      </w:r>
      <w:r w:rsidRPr="00D35199">
        <w:rPr>
          <w:rFonts w:ascii="Times New Roman" w:hAnsi="Times New Roman" w:cs="Times New Roman"/>
          <w:color w:val="auto"/>
          <w:sz w:val="24"/>
          <w:lang w:val="sq-AL" w:bidi="en-GB"/>
        </w:rPr>
        <w:t xml:space="preserve"> </w:t>
      </w:r>
      <w:r w:rsidRPr="00D35199">
        <w:rPr>
          <w:rFonts w:ascii="Times New Roman" w:hAnsi="Times New Roman"/>
          <w:color w:val="auto"/>
          <w:sz w:val="24"/>
          <w:lang w:val="sq-AL"/>
        </w:rPr>
        <w:t>PROJEKTLIGJIT</w:t>
      </w:r>
    </w:p>
    <w:p w:rsidR="00C7773E" w:rsidRDefault="00E57AF7" w:rsidP="00E57AF7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57AF7">
        <w:rPr>
          <w:rFonts w:ascii="Times New Roman" w:hAnsi="Times New Roman"/>
          <w:b/>
          <w:sz w:val="24"/>
          <w:szCs w:val="24"/>
          <w:lang w:val="sq-AL"/>
        </w:rPr>
        <w:t>"PËR DISA SHTESA DHE NDRYSHIME NË LIGJIN NR.13/2015 “PËR POLICINË USHTARAKE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NË FORCAT E ARMATOSURA TË RSH”</w:t>
      </w:r>
    </w:p>
    <w:p w:rsidR="00E57AF7" w:rsidRPr="009D16C4" w:rsidRDefault="00E57AF7" w:rsidP="00C7773E">
      <w:pPr>
        <w:rPr>
          <w:rFonts w:ascii="Times New Roman" w:hAnsi="Times New Roman"/>
          <w:sz w:val="24"/>
          <w:szCs w:val="24"/>
          <w:lang w:val="sq-AL"/>
        </w:rPr>
      </w:pPr>
    </w:p>
    <w:p w:rsidR="00C675C1" w:rsidRPr="00151974" w:rsidRDefault="00155341" w:rsidP="00E57AF7">
      <w:pPr>
        <w:pStyle w:val="ListParagraph"/>
        <w:numPr>
          <w:ilvl w:val="0"/>
          <w:numId w:val="1"/>
        </w:numPr>
        <w:tabs>
          <w:tab w:val="clear" w:pos="567"/>
          <w:tab w:val="left" w:pos="450"/>
        </w:tabs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D16C4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</w:t>
      </w:r>
      <w:proofErr w:type="spellStart"/>
      <w:r w:rsidR="00151974">
        <w:rPr>
          <w:rFonts w:ascii="Times New Roman" w:hAnsi="Times New Roman"/>
          <w:b/>
          <w:bCs/>
          <w:sz w:val="24"/>
          <w:szCs w:val="24"/>
          <w:lang w:val="sq-AL"/>
        </w:rPr>
        <w:t>projekt</w:t>
      </w:r>
      <w:r w:rsidR="00C7773E" w:rsidRPr="009D16C4">
        <w:rPr>
          <w:rFonts w:ascii="Times New Roman" w:hAnsi="Times New Roman"/>
          <w:b/>
          <w:bCs/>
          <w:sz w:val="24"/>
          <w:szCs w:val="24"/>
          <w:lang w:val="sq-AL"/>
        </w:rPr>
        <w:t>aktit</w:t>
      </w:r>
      <w:proofErr w:type="spellEnd"/>
      <w:r w:rsidR="00151974">
        <w:rPr>
          <w:rFonts w:ascii="Times New Roman" w:hAnsi="Times New Roman"/>
          <w:b/>
          <w:bCs/>
          <w:sz w:val="24"/>
          <w:szCs w:val="24"/>
          <w:lang w:val="sq-AL"/>
        </w:rPr>
        <w:t xml:space="preserve">: </w:t>
      </w:r>
      <w:r w:rsidR="00C675C1" w:rsidRPr="00151974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E57AF7" w:rsidRPr="00E57AF7">
        <w:rPr>
          <w:rFonts w:ascii="Times New Roman" w:hAnsi="Times New Roman"/>
          <w:sz w:val="24"/>
          <w:szCs w:val="24"/>
          <w:lang w:val="sq-AL"/>
        </w:rPr>
        <w:t>"Për disa shtesa dhe ndryshime në ligjin nr.13/2015 “Për policinë ushtarake</w:t>
      </w:r>
      <w:r w:rsidR="00E57AF7">
        <w:rPr>
          <w:rFonts w:ascii="Times New Roman" w:hAnsi="Times New Roman"/>
          <w:sz w:val="24"/>
          <w:szCs w:val="24"/>
          <w:lang w:val="sq-AL"/>
        </w:rPr>
        <w:t xml:space="preserve"> në Forcat e Armatosura të RSH”.</w:t>
      </w:r>
    </w:p>
    <w:p w:rsidR="00151974" w:rsidRDefault="00151974" w:rsidP="00151974">
      <w:pPr>
        <w:pStyle w:val="BodyText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  <w:lang w:val="sq-AL"/>
        </w:rPr>
      </w:pPr>
      <w:r w:rsidRPr="00746C4C">
        <w:rPr>
          <w:rFonts w:ascii="Times New Roman" w:hAnsi="Times New Roman"/>
          <w:sz w:val="24"/>
          <w:szCs w:val="24"/>
          <w:lang w:val="sq-AL"/>
        </w:rPr>
        <w:t xml:space="preserve">Referenca tek Programi i Përgjithshëm Analitik i </w:t>
      </w:r>
      <w:proofErr w:type="spellStart"/>
      <w:r w:rsidRPr="00746C4C">
        <w:rPr>
          <w:rFonts w:ascii="Times New Roman" w:hAnsi="Times New Roman"/>
          <w:sz w:val="24"/>
          <w:szCs w:val="24"/>
          <w:lang w:val="sq-AL"/>
        </w:rPr>
        <w:t>Projektakteve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 për vitin 202</w:t>
      </w:r>
      <w:r w:rsidR="00E57AF7">
        <w:rPr>
          <w:rFonts w:ascii="Times New Roman" w:hAnsi="Times New Roman"/>
          <w:sz w:val="24"/>
          <w:szCs w:val="24"/>
          <w:lang w:val="sq-AL"/>
        </w:rPr>
        <w:t>2</w:t>
      </w:r>
      <w:r>
        <w:rPr>
          <w:rFonts w:ascii="Times New Roman" w:hAnsi="Times New Roman"/>
          <w:sz w:val="24"/>
          <w:szCs w:val="24"/>
          <w:lang w:val="sq-AL"/>
        </w:rPr>
        <w:t xml:space="preserve">: </w:t>
      </w:r>
      <w:r w:rsidRPr="00D35199">
        <w:rPr>
          <w:rFonts w:ascii="Times New Roman" w:hAnsi="Times New Roman"/>
          <w:sz w:val="24"/>
          <w:szCs w:val="24"/>
          <w:u w:val="single"/>
          <w:lang w:val="sq-AL"/>
        </w:rPr>
        <w:t>nr.</w:t>
      </w:r>
      <w:r w:rsidR="00C9763B">
        <w:rPr>
          <w:rFonts w:ascii="Times New Roman" w:hAnsi="Times New Roman"/>
          <w:sz w:val="24"/>
          <w:szCs w:val="24"/>
          <w:u w:val="single"/>
          <w:lang w:val="sq-AL"/>
        </w:rPr>
        <w:t>10;</w:t>
      </w:r>
    </w:p>
    <w:p w:rsidR="00151974" w:rsidRDefault="00151974" w:rsidP="00151974">
      <w:pPr>
        <w:pStyle w:val="BodyText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  <w:lang w:val="sq-AL"/>
        </w:rPr>
      </w:pPr>
      <w:r w:rsidRPr="00746C4C">
        <w:rPr>
          <w:rFonts w:ascii="Times New Roman" w:hAnsi="Times New Roman"/>
          <w:sz w:val="24"/>
          <w:szCs w:val="24"/>
          <w:lang w:val="sq-AL"/>
        </w:rPr>
        <w:t>Referenca tek</w:t>
      </w:r>
      <w:r w:rsidRPr="00746C4C"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Plani</w:t>
      </w:r>
      <w:r w:rsidRPr="00746C4C">
        <w:rPr>
          <w:rFonts w:ascii="Times New Roman" w:hAnsi="Times New Roman"/>
          <w:sz w:val="24"/>
          <w:szCs w:val="24"/>
          <w:lang w:val="sq-AL"/>
        </w:rPr>
        <w:t xml:space="preserve"> Vjetor 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746C4C">
        <w:rPr>
          <w:rFonts w:ascii="Times New Roman" w:hAnsi="Times New Roman"/>
          <w:sz w:val="24"/>
          <w:szCs w:val="24"/>
          <w:lang w:val="sq-AL"/>
        </w:rPr>
        <w:t xml:space="preserve"> Konsultimit</w:t>
      </w:r>
      <w:r>
        <w:rPr>
          <w:rFonts w:ascii="Times New Roman" w:hAnsi="Times New Roman"/>
          <w:sz w:val="24"/>
          <w:szCs w:val="24"/>
          <w:lang w:val="sq-AL"/>
        </w:rPr>
        <w:t xml:space="preserve"> për vitin 2021: </w:t>
      </w:r>
      <w:r w:rsidRPr="00D35199">
        <w:rPr>
          <w:rFonts w:ascii="Times New Roman" w:hAnsi="Times New Roman"/>
          <w:sz w:val="24"/>
          <w:szCs w:val="24"/>
          <w:u w:val="single"/>
          <w:lang w:val="sq-AL"/>
        </w:rPr>
        <w:t>nr.</w:t>
      </w:r>
      <w:r w:rsidR="00C9763B">
        <w:rPr>
          <w:rFonts w:ascii="Times New Roman" w:hAnsi="Times New Roman"/>
          <w:sz w:val="24"/>
          <w:szCs w:val="24"/>
          <w:u w:val="single"/>
          <w:lang w:val="sq-AL"/>
        </w:rPr>
        <w:t>10;</w:t>
      </w:r>
    </w:p>
    <w:p w:rsidR="00151974" w:rsidRPr="00494809" w:rsidRDefault="00151974" w:rsidP="00151974">
      <w:pPr>
        <w:pStyle w:val="BodyText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  <w:lang w:val="sq-AL"/>
        </w:rPr>
      </w:pPr>
      <w:r w:rsidRPr="00746C4C">
        <w:rPr>
          <w:rFonts w:ascii="Times New Roman" w:hAnsi="Times New Roman"/>
          <w:sz w:val="24"/>
          <w:szCs w:val="24"/>
          <w:lang w:val="sq-AL"/>
        </w:rPr>
        <w:t>Referenca tek</w:t>
      </w:r>
      <w:r w:rsidRPr="00746C4C"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Vlerësimi i</w:t>
      </w:r>
      <w:r w:rsidRPr="00746C4C">
        <w:rPr>
          <w:rFonts w:ascii="Times New Roman" w:hAnsi="Times New Roman"/>
          <w:sz w:val="24"/>
          <w:szCs w:val="24"/>
          <w:lang w:val="sq-AL"/>
        </w:rPr>
        <w:t xml:space="preserve"> Ndikimit Rregullator (VNR)</w:t>
      </w:r>
      <w:r>
        <w:rPr>
          <w:rFonts w:ascii="Times New Roman" w:hAnsi="Times New Roman"/>
          <w:sz w:val="24"/>
          <w:szCs w:val="24"/>
          <w:lang w:val="sq-AL"/>
        </w:rPr>
        <w:t xml:space="preserve">: </w:t>
      </w:r>
      <w:r>
        <w:rPr>
          <w:rFonts w:ascii="Times New Roman" w:hAnsi="Times New Roman"/>
          <w:sz w:val="24"/>
          <w:szCs w:val="24"/>
          <w:u w:val="single"/>
          <w:lang w:val="sq-AL"/>
        </w:rPr>
        <w:t>2021 – MM</w:t>
      </w:r>
      <w:r w:rsidRPr="00D35199">
        <w:rPr>
          <w:rFonts w:ascii="Times New Roman" w:hAnsi="Times New Roman"/>
          <w:sz w:val="24"/>
          <w:szCs w:val="24"/>
          <w:u w:val="single"/>
          <w:lang w:val="sq-AL"/>
        </w:rPr>
        <w:t xml:space="preserve"> –  Nr. </w:t>
      </w:r>
      <w:r w:rsidR="00C9763B">
        <w:rPr>
          <w:rFonts w:ascii="Times New Roman" w:hAnsi="Times New Roman"/>
          <w:sz w:val="24"/>
          <w:szCs w:val="24"/>
          <w:u w:val="single"/>
          <w:lang w:val="sq-AL"/>
        </w:rPr>
        <w:t>3</w:t>
      </w:r>
    </w:p>
    <w:p w:rsidR="00494809" w:rsidRPr="00B7598B" w:rsidRDefault="00494809" w:rsidP="00151974">
      <w:pPr>
        <w:pStyle w:val="BodyText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  <w:lang w:val="sq-AL"/>
        </w:rPr>
      </w:pPr>
      <w:r w:rsidRPr="00746C4C">
        <w:rPr>
          <w:rFonts w:ascii="Times New Roman" w:hAnsi="Times New Roman"/>
          <w:sz w:val="24"/>
          <w:szCs w:val="24"/>
          <w:lang w:val="sq-AL"/>
        </w:rPr>
        <w:t>Referenca tek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62958">
        <w:rPr>
          <w:rFonts w:ascii="Times New Roman" w:hAnsi="Times New Roman"/>
          <w:sz w:val="24"/>
          <w:szCs w:val="24"/>
          <w:lang w:val="sq-AL"/>
        </w:rPr>
        <w:t>Plani Kombëtar për Integrimin Evropian</w:t>
      </w:r>
      <w:r>
        <w:rPr>
          <w:rFonts w:ascii="Times New Roman" w:hAnsi="Times New Roman"/>
          <w:sz w:val="24"/>
          <w:szCs w:val="24"/>
          <w:lang w:val="sq-AL"/>
        </w:rPr>
        <w:t>: n/a</w:t>
      </w:r>
    </w:p>
    <w:p w:rsidR="00151974" w:rsidRPr="00151974" w:rsidRDefault="00151974" w:rsidP="00151974">
      <w:pPr>
        <w:pStyle w:val="ListParagraph"/>
        <w:tabs>
          <w:tab w:val="clear" w:pos="567"/>
          <w:tab w:val="left" w:pos="450"/>
        </w:tabs>
        <w:ind w:left="45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C7773E" w:rsidRPr="009D16C4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9D16C4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:rsidR="00C7773E" w:rsidRPr="009D16C4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9D16C4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:rsidR="00221040" w:rsidRPr="009D16C4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C675C1" w:rsidRPr="009D16C4" w:rsidRDefault="00221040" w:rsidP="00C675C1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9D16C4">
        <w:rPr>
          <w:rFonts w:ascii="Times New Roman" w:hAnsi="Times New Roman"/>
          <w:iCs/>
          <w:sz w:val="24"/>
          <w:szCs w:val="24"/>
          <w:lang w:val="sq-AL"/>
        </w:rPr>
        <w:t>Konsultimi publik p</w:t>
      </w:r>
      <w:r w:rsidR="005B160F" w:rsidRPr="009D16C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iCs/>
          <w:sz w:val="24"/>
          <w:szCs w:val="24"/>
          <w:lang w:val="sq-AL"/>
        </w:rPr>
        <w:t>r projektligjin ka nisur m</w:t>
      </w:r>
      <w:r w:rsidR="005B160F" w:rsidRPr="009D16C4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984BFB" w:rsidRPr="009D16C4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C9763B">
        <w:rPr>
          <w:rFonts w:ascii="Times New Roman" w:hAnsi="Times New Roman"/>
          <w:iCs/>
          <w:sz w:val="24"/>
          <w:szCs w:val="24"/>
          <w:lang w:val="sq-AL"/>
        </w:rPr>
        <w:t>24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>.2.202</w:t>
      </w:r>
      <w:r w:rsidR="00C9763B">
        <w:rPr>
          <w:rFonts w:ascii="Times New Roman" w:hAnsi="Times New Roman"/>
          <w:iCs/>
          <w:sz w:val="24"/>
          <w:szCs w:val="24"/>
          <w:lang w:val="sq-AL"/>
        </w:rPr>
        <w:t>1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, me </w:t>
      </w:r>
      <w:r w:rsidR="00C9763B">
        <w:rPr>
          <w:rFonts w:ascii="Times New Roman" w:hAnsi="Times New Roman"/>
          <w:iCs/>
          <w:sz w:val="24"/>
          <w:szCs w:val="24"/>
          <w:lang w:val="sq-AL"/>
        </w:rPr>
        <w:t>zhvillimin e takimit të parë të grupit të punës, ku u vendos dërgimi i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 një njoftimi </w:t>
      </w:r>
      <w:r w:rsidR="00C9763B">
        <w:rPr>
          <w:rFonts w:ascii="Times New Roman" w:hAnsi="Times New Roman"/>
          <w:iCs/>
          <w:sz w:val="24"/>
          <w:szCs w:val="24"/>
          <w:lang w:val="sq-AL"/>
        </w:rPr>
        <w:t>t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ë </w:t>
      </w:r>
      <w:proofErr w:type="spellStart"/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>të</w:t>
      </w:r>
      <w:proofErr w:type="spellEnd"/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 gjitha struktura</w:t>
      </w:r>
      <w:r w:rsidR="00132589" w:rsidRPr="009D16C4">
        <w:rPr>
          <w:rFonts w:ascii="Times New Roman" w:hAnsi="Times New Roman"/>
          <w:iCs/>
          <w:sz w:val="24"/>
          <w:szCs w:val="24"/>
          <w:lang w:val="sq-AL"/>
        </w:rPr>
        <w:t>ve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132589" w:rsidRPr="009D16C4">
        <w:rPr>
          <w:rFonts w:ascii="Times New Roman" w:hAnsi="Times New Roman"/>
          <w:iCs/>
          <w:sz w:val="24"/>
          <w:szCs w:val="24"/>
          <w:lang w:val="sq-AL"/>
        </w:rPr>
        <w:t>të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 Forcave të Armatosura të Republikës së Shqipërisë (Shtabi</w:t>
      </w:r>
      <w:r w:rsidR="00132589" w:rsidRPr="009D16C4">
        <w:rPr>
          <w:rFonts w:ascii="Times New Roman" w:hAnsi="Times New Roman"/>
          <w:iCs/>
          <w:sz w:val="24"/>
          <w:szCs w:val="24"/>
          <w:lang w:val="sq-AL"/>
        </w:rPr>
        <w:t>t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132589" w:rsidRPr="009D16C4">
        <w:rPr>
          <w:rFonts w:ascii="Times New Roman" w:hAnsi="Times New Roman"/>
          <w:iCs/>
          <w:sz w:val="24"/>
          <w:szCs w:val="24"/>
          <w:lang w:val="sq-AL"/>
        </w:rPr>
        <w:t>të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 Përgjithshëm </w:t>
      </w:r>
      <w:r w:rsidR="00132589" w:rsidRPr="009D16C4">
        <w:rPr>
          <w:rFonts w:ascii="Times New Roman" w:hAnsi="Times New Roman"/>
          <w:iCs/>
          <w:sz w:val="24"/>
          <w:szCs w:val="24"/>
          <w:lang w:val="sq-AL"/>
        </w:rPr>
        <w:t>të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 FA, Komanda</w:t>
      </w:r>
      <w:r w:rsidR="00132589" w:rsidRPr="009D16C4">
        <w:rPr>
          <w:rFonts w:ascii="Times New Roman" w:hAnsi="Times New Roman"/>
          <w:iCs/>
          <w:sz w:val="24"/>
          <w:szCs w:val="24"/>
          <w:lang w:val="sq-AL"/>
        </w:rPr>
        <w:t>ve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132589" w:rsidRPr="009D16C4">
        <w:rPr>
          <w:rFonts w:ascii="Times New Roman" w:hAnsi="Times New Roman"/>
          <w:iCs/>
          <w:sz w:val="24"/>
          <w:szCs w:val="24"/>
          <w:lang w:val="sq-AL"/>
        </w:rPr>
        <w:t>të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 Forcave, Komand</w:t>
      </w:r>
      <w:r w:rsidR="00132589" w:rsidRPr="009D16C4">
        <w:rPr>
          <w:rFonts w:ascii="Times New Roman" w:hAnsi="Times New Roman"/>
          <w:iCs/>
          <w:sz w:val="24"/>
          <w:szCs w:val="24"/>
          <w:lang w:val="sq-AL"/>
        </w:rPr>
        <w:t>ës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132589" w:rsidRPr="009D16C4">
        <w:rPr>
          <w:rFonts w:ascii="Times New Roman" w:hAnsi="Times New Roman"/>
          <w:iCs/>
          <w:sz w:val="24"/>
          <w:szCs w:val="24"/>
          <w:lang w:val="sq-AL"/>
        </w:rPr>
        <w:t>Mbështetëse,</w:t>
      </w:r>
      <w:r w:rsidR="00C9763B">
        <w:rPr>
          <w:rFonts w:ascii="Times New Roman" w:hAnsi="Times New Roman"/>
          <w:iCs/>
          <w:sz w:val="24"/>
          <w:szCs w:val="24"/>
          <w:lang w:val="sq-AL"/>
        </w:rPr>
        <w:t xml:space="preserve"> Agjencisë së Inteligjencës dhe Sigurisë së Mbrojtjes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>), të cilët përbëjnë dhe grupin kryesor të interesit në këtë projektligj, ku kërkohe</w:t>
      </w:r>
      <w:r w:rsidR="00C9763B">
        <w:rPr>
          <w:rFonts w:ascii="Times New Roman" w:hAnsi="Times New Roman"/>
          <w:iCs/>
          <w:sz w:val="24"/>
          <w:szCs w:val="24"/>
          <w:lang w:val="sq-AL"/>
        </w:rPr>
        <w:t>t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 përcjellja pranë grupit të punës i sugjerimeve dhe propozimeve konkrete mbi ndryshimet që duhej të pëso</w:t>
      </w:r>
      <w:r w:rsidR="00C9763B">
        <w:rPr>
          <w:rFonts w:ascii="Times New Roman" w:hAnsi="Times New Roman"/>
          <w:iCs/>
          <w:sz w:val="24"/>
          <w:szCs w:val="24"/>
          <w:lang w:val="sq-AL"/>
        </w:rPr>
        <w:t>jë ligji aktual, pasi të njihen me problematikat që ka sjellë ligji gjatë zbatimit.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 Pas marrjes së mendimeve të strukturave </w:t>
      </w:r>
      <w:r w:rsidR="00C675C1" w:rsidRPr="00A91653">
        <w:rPr>
          <w:rFonts w:ascii="Times New Roman" w:hAnsi="Times New Roman"/>
          <w:iCs/>
          <w:sz w:val="24"/>
          <w:szCs w:val="24"/>
          <w:lang w:val="sq-AL"/>
        </w:rPr>
        <w:t xml:space="preserve">dhe reflektimit të një pjese të sugjerimeve të tyre në përmbajtjen e projektligjit, 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u vijua me publikimin e draftit në RENJK dhe në faqen zyrtare të Ministrisë së Mbrojtjes, më </w:t>
      </w:r>
      <w:r w:rsidR="00C9763B">
        <w:rPr>
          <w:rFonts w:ascii="Times New Roman" w:hAnsi="Times New Roman"/>
          <w:iCs/>
          <w:sz w:val="24"/>
          <w:szCs w:val="24"/>
          <w:lang w:val="sq-AL"/>
        </w:rPr>
        <w:t>1.10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.2021. Konsultimi publik është </w:t>
      </w:r>
      <w:r w:rsidR="00C9763B">
        <w:rPr>
          <w:rFonts w:ascii="Times New Roman" w:hAnsi="Times New Roman"/>
          <w:iCs/>
          <w:sz w:val="24"/>
          <w:szCs w:val="24"/>
          <w:lang w:val="sq-AL"/>
        </w:rPr>
        <w:t>mbyllur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 xml:space="preserve"> më </w:t>
      </w:r>
      <w:r w:rsidR="00C9763B">
        <w:rPr>
          <w:rFonts w:ascii="Times New Roman" w:hAnsi="Times New Roman"/>
          <w:iCs/>
          <w:sz w:val="24"/>
          <w:szCs w:val="24"/>
          <w:lang w:val="sq-AL"/>
        </w:rPr>
        <w:t>6.12</w:t>
      </w:r>
      <w:r w:rsidR="00C675C1" w:rsidRPr="009D16C4">
        <w:rPr>
          <w:rFonts w:ascii="Times New Roman" w:hAnsi="Times New Roman"/>
          <w:iCs/>
          <w:sz w:val="24"/>
          <w:szCs w:val="24"/>
          <w:lang w:val="sq-AL"/>
        </w:rPr>
        <w:t>.2021.</w:t>
      </w:r>
    </w:p>
    <w:p w:rsidR="00CD3FB0" w:rsidRPr="009D16C4" w:rsidRDefault="00CD3FB0" w:rsidP="00C675C1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C7773E" w:rsidRPr="009D16C4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9D16C4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:rsidR="00C7773E" w:rsidRPr="009D16C4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9D16C4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:rsidR="00C7773E" w:rsidRPr="009D16C4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9D16C4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:rsidR="00C7773E" w:rsidRPr="009D16C4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9D16C4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:rsidR="00221040" w:rsidRPr="009D16C4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AD49F8" w:rsidRPr="009D16C4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D16C4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:rsidR="00AD49F8" w:rsidRPr="0062606C" w:rsidRDefault="008F7BD8" w:rsidP="0062606C">
      <w:pPr>
        <w:pStyle w:val="BodyText"/>
        <w:ind w:left="360"/>
        <w:jc w:val="both"/>
      </w:pPr>
      <w:r w:rsidRPr="0062606C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AD49F8" w:rsidRPr="0062606C">
        <w:rPr>
          <w:rFonts w:ascii="Times New Roman" w:hAnsi="Times New Roman"/>
          <w:sz w:val="24"/>
          <w:szCs w:val="24"/>
          <w:lang w:val="sq-AL"/>
        </w:rPr>
        <w:t>publikimin n</w:t>
      </w:r>
      <w:r w:rsidR="005B160F" w:rsidRPr="0062606C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62606C">
        <w:rPr>
          <w:rFonts w:ascii="Times New Roman" w:hAnsi="Times New Roman"/>
          <w:sz w:val="24"/>
          <w:szCs w:val="24"/>
          <w:lang w:val="sq-AL"/>
        </w:rPr>
        <w:t xml:space="preserve"> RENJK</w:t>
      </w:r>
      <w:r w:rsidR="00762958" w:rsidRPr="0062606C">
        <w:rPr>
          <w:rFonts w:ascii="Times New Roman" w:hAnsi="Times New Roman"/>
          <w:sz w:val="24"/>
          <w:szCs w:val="24"/>
          <w:lang w:val="sq-AL"/>
        </w:rPr>
        <w:t xml:space="preserve"> (</w:t>
      </w:r>
      <w:hyperlink r:id="rId10" w:history="1">
        <w:r w:rsidR="0062606C" w:rsidRPr="0062606C">
          <w:rPr>
            <w:rStyle w:val="Hyperlink"/>
            <w:sz w:val="24"/>
            <w:szCs w:val="24"/>
          </w:rPr>
          <w:t>https://konsultimipublik.gov.al/Konsultime/Detaje/409</w:t>
        </w:r>
      </w:hyperlink>
      <w:r w:rsidR="0062606C" w:rsidRPr="0062606C">
        <w:rPr>
          <w:sz w:val="24"/>
          <w:szCs w:val="24"/>
        </w:rPr>
        <w:t>)</w:t>
      </w:r>
      <w:r w:rsidR="00AD49F8" w:rsidRPr="0062606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5B160F" w:rsidRPr="0062606C">
        <w:rPr>
          <w:rFonts w:ascii="Times New Roman" w:hAnsi="Times New Roman"/>
          <w:sz w:val="24"/>
          <w:szCs w:val="24"/>
          <w:lang w:val="sq-AL"/>
        </w:rPr>
        <w:t>u vendos</w:t>
      </w:r>
      <w:r w:rsidR="00AD49F8" w:rsidRPr="0062606C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5B160F" w:rsidRPr="0062606C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62606C">
        <w:rPr>
          <w:rFonts w:ascii="Times New Roman" w:hAnsi="Times New Roman"/>
          <w:sz w:val="24"/>
          <w:szCs w:val="24"/>
          <w:lang w:val="sq-AL"/>
        </w:rPr>
        <w:t xml:space="preserve"> afat </w:t>
      </w:r>
      <w:r w:rsidR="0062606C" w:rsidRPr="0062606C">
        <w:rPr>
          <w:rFonts w:ascii="Times New Roman" w:hAnsi="Times New Roman"/>
          <w:sz w:val="24"/>
          <w:szCs w:val="24"/>
          <w:lang w:val="sq-AL"/>
        </w:rPr>
        <w:t>6</w:t>
      </w:r>
      <w:r w:rsidR="00AD49F8" w:rsidRPr="0062606C">
        <w:rPr>
          <w:rFonts w:ascii="Times New Roman" w:hAnsi="Times New Roman"/>
          <w:sz w:val="24"/>
          <w:szCs w:val="24"/>
          <w:lang w:val="sq-AL"/>
        </w:rPr>
        <w:t>0 ditor p</w:t>
      </w:r>
      <w:r w:rsidR="005B160F" w:rsidRPr="0062606C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62606C">
        <w:rPr>
          <w:rFonts w:ascii="Times New Roman" w:hAnsi="Times New Roman"/>
          <w:sz w:val="24"/>
          <w:szCs w:val="24"/>
          <w:lang w:val="sq-AL"/>
        </w:rPr>
        <w:t>r dh</w:t>
      </w:r>
      <w:r w:rsidR="005B160F" w:rsidRPr="0062606C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62606C">
        <w:rPr>
          <w:rFonts w:ascii="Times New Roman" w:hAnsi="Times New Roman"/>
          <w:sz w:val="24"/>
          <w:szCs w:val="24"/>
          <w:lang w:val="sq-AL"/>
        </w:rPr>
        <w:t>nien e sugjerimeve/komenteve mbi draftin e projektligjit, t</w:t>
      </w:r>
      <w:r w:rsidR="005B160F" w:rsidRPr="0062606C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62606C">
        <w:rPr>
          <w:rFonts w:ascii="Times New Roman" w:hAnsi="Times New Roman"/>
          <w:sz w:val="24"/>
          <w:szCs w:val="24"/>
          <w:lang w:val="sq-AL"/>
        </w:rPr>
        <w:t xml:space="preserve"> cilat mblidhen nga personat p</w:t>
      </w:r>
      <w:r w:rsidR="005B160F" w:rsidRPr="0062606C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62606C">
        <w:rPr>
          <w:rFonts w:ascii="Times New Roman" w:hAnsi="Times New Roman"/>
          <w:sz w:val="24"/>
          <w:szCs w:val="24"/>
          <w:lang w:val="sq-AL"/>
        </w:rPr>
        <w:t>rgjegj</w:t>
      </w:r>
      <w:r w:rsidR="005B160F" w:rsidRPr="0062606C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62606C">
        <w:rPr>
          <w:rFonts w:ascii="Times New Roman" w:hAnsi="Times New Roman"/>
          <w:sz w:val="24"/>
          <w:szCs w:val="24"/>
          <w:lang w:val="sq-AL"/>
        </w:rPr>
        <w:t>s dhe vler</w:t>
      </w:r>
      <w:r w:rsidR="005B160F" w:rsidRPr="0062606C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62606C">
        <w:rPr>
          <w:rFonts w:ascii="Times New Roman" w:hAnsi="Times New Roman"/>
          <w:sz w:val="24"/>
          <w:szCs w:val="24"/>
          <w:lang w:val="sq-AL"/>
        </w:rPr>
        <w:t>sohen m</w:t>
      </w:r>
      <w:r w:rsidR="005B160F" w:rsidRPr="0062606C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62606C">
        <w:rPr>
          <w:rFonts w:ascii="Times New Roman" w:hAnsi="Times New Roman"/>
          <w:sz w:val="24"/>
          <w:szCs w:val="24"/>
          <w:lang w:val="sq-AL"/>
        </w:rPr>
        <w:t xml:space="preserve"> tej</w:t>
      </w:r>
      <w:r w:rsidR="00AD49F8" w:rsidRPr="009D16C4">
        <w:rPr>
          <w:rFonts w:ascii="Times New Roman" w:hAnsi="Times New Roman"/>
          <w:sz w:val="24"/>
          <w:szCs w:val="24"/>
          <w:lang w:val="sq-AL"/>
        </w:rPr>
        <w:t>.</w:t>
      </w:r>
    </w:p>
    <w:p w:rsidR="00AD49F8" w:rsidRPr="009D16C4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9D16C4">
        <w:rPr>
          <w:rFonts w:ascii="Times New Roman" w:hAnsi="Times New Roman"/>
          <w:b/>
          <w:sz w:val="24"/>
          <w:szCs w:val="24"/>
          <w:lang w:val="sq-AL"/>
        </w:rPr>
        <w:t>Nëpërmjet adresës së e</w:t>
      </w:r>
      <w:r w:rsidR="0062606C">
        <w:rPr>
          <w:rFonts w:ascii="Times New Roman" w:hAnsi="Times New Roman"/>
          <w:b/>
          <w:sz w:val="24"/>
          <w:szCs w:val="24"/>
          <w:lang w:val="sq-AL"/>
        </w:rPr>
        <w:t>-</w:t>
      </w:r>
      <w:proofErr w:type="spellStart"/>
      <w:r w:rsidRPr="009D16C4">
        <w:rPr>
          <w:rFonts w:ascii="Times New Roman" w:hAnsi="Times New Roman"/>
          <w:b/>
          <w:sz w:val="24"/>
          <w:szCs w:val="24"/>
          <w:lang w:val="sq-AL"/>
        </w:rPr>
        <w:t>mailit</w:t>
      </w:r>
      <w:proofErr w:type="spellEnd"/>
      <w:r w:rsidRPr="009D16C4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hyperlink r:id="rId11" w:history="1">
        <w:r w:rsidRPr="009D16C4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konsultim.publik@mod.gov.al</w:t>
        </w:r>
      </w:hyperlink>
      <w:r w:rsidR="002E4815" w:rsidRPr="009D16C4">
        <w:rPr>
          <w:rFonts w:ascii="Times New Roman" w:hAnsi="Times New Roman"/>
          <w:sz w:val="24"/>
          <w:szCs w:val="24"/>
          <w:lang w:val="sq-AL"/>
        </w:rPr>
        <w:t>:</w:t>
      </w:r>
    </w:p>
    <w:p w:rsidR="00AD49F8" w:rsidRPr="009D16C4" w:rsidRDefault="00AD49F8" w:rsidP="009B3F8B">
      <w:pPr>
        <w:pStyle w:val="BodyText"/>
        <w:tabs>
          <w:tab w:val="clear" w:pos="567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9D16C4">
        <w:rPr>
          <w:rFonts w:ascii="Times New Roman" w:hAnsi="Times New Roman"/>
          <w:sz w:val="24"/>
          <w:szCs w:val="24"/>
          <w:lang w:val="sq-AL"/>
        </w:rPr>
        <w:t>M</w:t>
      </w:r>
      <w:r w:rsidR="008F7BD8" w:rsidRPr="009D16C4">
        <w:rPr>
          <w:rFonts w:ascii="Times New Roman" w:hAnsi="Times New Roman"/>
          <w:sz w:val="24"/>
          <w:szCs w:val="24"/>
          <w:lang w:val="sq-AL"/>
        </w:rPr>
        <w:t>e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>llim leht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>simin e dh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>nies s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komenteve/sugjerimeve nga çdo i interesuar, n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Mbrojtjes, n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rubrik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>n e dedikuar p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>r konsultimin publik, krahas drafteve t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projektligjit 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>sht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v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>n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dispozicion edhe nj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5B160F" w:rsidRPr="009D16C4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9D16C4">
        <w:rPr>
          <w:rFonts w:ascii="Times New Roman" w:hAnsi="Times New Roman"/>
          <w:sz w:val="24"/>
          <w:szCs w:val="24"/>
          <w:lang w:val="sq-AL"/>
        </w:rPr>
        <w:t xml:space="preserve"> elektronike.</w:t>
      </w:r>
    </w:p>
    <w:p w:rsidR="002E4815" w:rsidRPr="009D16C4" w:rsidRDefault="00AD49F8" w:rsidP="002E4815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D16C4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</w:t>
      </w:r>
      <w:proofErr w:type="spellStart"/>
      <w:r w:rsidRPr="009D16C4">
        <w:rPr>
          <w:rFonts w:ascii="Times New Roman" w:hAnsi="Times New Roman"/>
          <w:b/>
          <w:bCs/>
          <w:sz w:val="24"/>
          <w:szCs w:val="24"/>
          <w:lang w:val="sq-AL"/>
        </w:rPr>
        <w:t>Skënderbej</w:t>
      </w:r>
      <w:proofErr w:type="spellEnd"/>
      <w:r w:rsidRPr="009D16C4">
        <w:rPr>
          <w:rFonts w:ascii="Times New Roman" w:hAnsi="Times New Roman"/>
          <w:b/>
          <w:bCs/>
          <w:sz w:val="24"/>
          <w:szCs w:val="24"/>
          <w:lang w:val="sq-AL"/>
        </w:rPr>
        <w:t>”, Tiranë”</w:t>
      </w:r>
      <w:r w:rsidR="002E4815" w:rsidRPr="009D16C4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:rsidR="00C7773E" w:rsidRPr="009D16C4" w:rsidRDefault="002E4815" w:rsidP="00C45848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9D16C4">
        <w:rPr>
          <w:rFonts w:ascii="Times New Roman" w:hAnsi="Times New Roman"/>
          <w:sz w:val="24"/>
          <w:szCs w:val="24"/>
          <w:lang w:val="sq-AL"/>
        </w:rPr>
        <w:lastRenderedPageBreak/>
        <w:t>Çdo pal</w:t>
      </w:r>
      <w:r w:rsidR="00EF0309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e interesuar mund t</w:t>
      </w:r>
      <w:r w:rsidR="00EF0309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EF0309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>rgoj</w:t>
      </w:r>
      <w:r w:rsidR="00EF0309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EF0309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form</w:t>
      </w:r>
      <w:r w:rsidR="00EF0309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shkresore, n</w:t>
      </w:r>
      <w:r w:rsidR="00EF0309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EF0309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EF0309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EF0309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EF0309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Mbrojtjes t</w:t>
      </w:r>
      <w:r w:rsidR="00EF0309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gjitha komentet/sugjerimet mbi p</w:t>
      </w:r>
      <w:r w:rsidR="00EF0309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>rmbajtjen e projektligjit.</w:t>
      </w:r>
    </w:p>
    <w:p w:rsidR="00F96140" w:rsidRPr="009D16C4" w:rsidRDefault="00F96140" w:rsidP="00F96140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D16C4">
        <w:rPr>
          <w:rFonts w:ascii="Times New Roman" w:hAnsi="Times New Roman"/>
          <w:b/>
          <w:sz w:val="24"/>
          <w:szCs w:val="24"/>
          <w:lang w:val="sq-AL"/>
        </w:rPr>
        <w:t>Drejtp</w:t>
      </w:r>
      <w:r w:rsidR="003C2D46" w:rsidRPr="009D16C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b/>
          <w:sz w:val="24"/>
          <w:szCs w:val="24"/>
          <w:lang w:val="sq-AL"/>
        </w:rPr>
        <w:t>rdrejt</w:t>
      </w:r>
      <w:r w:rsidR="003C2D46" w:rsidRPr="009D16C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b/>
          <w:sz w:val="24"/>
          <w:szCs w:val="24"/>
          <w:lang w:val="sq-AL"/>
        </w:rPr>
        <w:t>, n</w:t>
      </w:r>
      <w:r w:rsidR="003C2D46" w:rsidRPr="009D16C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b/>
          <w:sz w:val="24"/>
          <w:szCs w:val="24"/>
          <w:lang w:val="sq-AL"/>
        </w:rPr>
        <w:t>p</w:t>
      </w:r>
      <w:r w:rsidR="003C2D46" w:rsidRPr="009D16C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b/>
          <w:sz w:val="24"/>
          <w:szCs w:val="24"/>
          <w:lang w:val="sq-AL"/>
        </w:rPr>
        <w:t>rmjet zhvillimit t</w:t>
      </w:r>
      <w:r w:rsidR="003C2D46" w:rsidRPr="009D16C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b/>
          <w:sz w:val="24"/>
          <w:szCs w:val="24"/>
          <w:lang w:val="sq-AL"/>
        </w:rPr>
        <w:t xml:space="preserve"> takimit:</w:t>
      </w:r>
    </w:p>
    <w:p w:rsidR="0089749B" w:rsidRDefault="00C675C1" w:rsidP="0089749B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9D16C4">
        <w:rPr>
          <w:rFonts w:ascii="Times New Roman" w:hAnsi="Times New Roman"/>
          <w:sz w:val="24"/>
          <w:szCs w:val="24"/>
          <w:lang w:val="sq-AL"/>
        </w:rPr>
        <w:t xml:space="preserve">Grupi i punës, i ngritur me urdhër të ministrit të Mbrojtjes zhvilloi një sërë takimesh ku u </w:t>
      </w:r>
      <w:r w:rsidR="00E1495B" w:rsidRPr="009D16C4">
        <w:rPr>
          <w:rFonts w:ascii="Times New Roman" w:hAnsi="Times New Roman"/>
          <w:sz w:val="24"/>
          <w:szCs w:val="24"/>
          <w:lang w:val="sq-AL"/>
        </w:rPr>
        <w:t>diskutua</w:t>
      </w:r>
      <w:r w:rsidR="00F12B43">
        <w:rPr>
          <w:rFonts w:ascii="Times New Roman" w:hAnsi="Times New Roman"/>
          <w:sz w:val="24"/>
          <w:szCs w:val="24"/>
          <w:lang w:val="sq-AL"/>
        </w:rPr>
        <w:t xml:space="preserve"> mbi problematikat e</w:t>
      </w:r>
      <w:r w:rsidR="00E1495B" w:rsidRPr="009D16C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D16C4">
        <w:rPr>
          <w:rFonts w:ascii="Times New Roman" w:hAnsi="Times New Roman"/>
          <w:sz w:val="24"/>
          <w:szCs w:val="24"/>
          <w:lang w:val="sq-AL"/>
        </w:rPr>
        <w:t>zbatimi</w:t>
      </w:r>
      <w:r w:rsidR="00F12B43">
        <w:rPr>
          <w:rFonts w:ascii="Times New Roman" w:hAnsi="Times New Roman"/>
          <w:sz w:val="24"/>
          <w:szCs w:val="24"/>
          <w:lang w:val="sq-AL"/>
        </w:rPr>
        <w:t>t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12B43">
        <w:rPr>
          <w:rFonts w:ascii="Times New Roman" w:hAnsi="Times New Roman"/>
          <w:sz w:val="24"/>
          <w:szCs w:val="24"/>
          <w:lang w:val="sq-AL"/>
        </w:rPr>
        <w:t>t</w:t>
      </w:r>
      <w:r w:rsidR="0089749B">
        <w:rPr>
          <w:rFonts w:ascii="Times New Roman" w:hAnsi="Times New Roman"/>
          <w:sz w:val="24"/>
          <w:szCs w:val="24"/>
          <w:lang w:val="sq-AL"/>
        </w:rPr>
        <w:t>ë</w:t>
      </w:r>
      <w:r w:rsidR="00F12B4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ligjit </w:t>
      </w:r>
      <w:r w:rsidR="00F12B43" w:rsidRPr="00E57AF7">
        <w:rPr>
          <w:rFonts w:ascii="Times New Roman" w:hAnsi="Times New Roman"/>
          <w:sz w:val="24"/>
          <w:szCs w:val="24"/>
          <w:lang w:val="sq-AL"/>
        </w:rPr>
        <w:t>nr.13/2015 “Për policinë ushtarake</w:t>
      </w:r>
      <w:r w:rsidR="00F12B43">
        <w:rPr>
          <w:rFonts w:ascii="Times New Roman" w:hAnsi="Times New Roman"/>
          <w:sz w:val="24"/>
          <w:szCs w:val="24"/>
          <w:lang w:val="sq-AL"/>
        </w:rPr>
        <w:t xml:space="preserve"> në Forcat e Armatosura të RSH”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. </w:t>
      </w:r>
      <w:r w:rsidR="00E221FA">
        <w:rPr>
          <w:rFonts w:ascii="Times New Roman" w:hAnsi="Times New Roman"/>
          <w:sz w:val="24"/>
          <w:szCs w:val="24"/>
          <w:lang w:val="sq-AL"/>
        </w:rPr>
        <w:t xml:space="preserve">Pasi u mblodhën </w:t>
      </w:r>
      <w:r w:rsidR="0089749B">
        <w:rPr>
          <w:rFonts w:ascii="Times New Roman" w:hAnsi="Times New Roman"/>
          <w:sz w:val="24"/>
          <w:szCs w:val="24"/>
          <w:lang w:val="sq-AL"/>
        </w:rPr>
        <w:t>komentet dhe sugjerimet, grupi i punës organizoi një takim më 3.6.2021 ku u diskutua mbi pranimin ose jo të tyre.</w:t>
      </w:r>
    </w:p>
    <w:p w:rsidR="00C7773E" w:rsidRPr="009D16C4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D16C4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:rsidR="00C7773E" w:rsidRPr="009D16C4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9D16C4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:rsidR="00C7773E" w:rsidRPr="009D16C4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9D16C4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:rsidR="00C7773E" w:rsidRPr="009D16C4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9D16C4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:rsidR="00175D65" w:rsidRPr="009D16C4" w:rsidRDefault="00175D65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:rsidR="00315A5E" w:rsidRPr="009D16C4" w:rsidRDefault="00315A5E" w:rsidP="00B81CA0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9D16C4">
        <w:rPr>
          <w:rFonts w:ascii="Times New Roman" w:hAnsi="Times New Roman"/>
          <w:iCs/>
          <w:sz w:val="24"/>
          <w:szCs w:val="24"/>
          <w:lang w:val="sq-AL"/>
        </w:rPr>
        <w:t>Pal</w:t>
      </w:r>
      <w:r w:rsidR="003F0926" w:rsidRPr="009D16C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iCs/>
          <w:sz w:val="24"/>
          <w:szCs w:val="24"/>
          <w:lang w:val="sq-AL"/>
        </w:rPr>
        <w:t>t e interesuar</w:t>
      </w:r>
      <w:r w:rsidR="00AF5AB1" w:rsidRPr="009D16C4">
        <w:rPr>
          <w:rFonts w:ascii="Times New Roman" w:hAnsi="Times New Roman"/>
          <w:iCs/>
          <w:sz w:val="24"/>
          <w:szCs w:val="24"/>
          <w:lang w:val="sq-AL"/>
        </w:rPr>
        <w:t xml:space="preserve">a, </w:t>
      </w:r>
      <w:r w:rsidRPr="009D16C4">
        <w:rPr>
          <w:rFonts w:ascii="Times New Roman" w:hAnsi="Times New Roman"/>
          <w:iCs/>
          <w:sz w:val="24"/>
          <w:szCs w:val="24"/>
          <w:lang w:val="sq-AL"/>
        </w:rPr>
        <w:t>t</w:t>
      </w:r>
      <w:r w:rsidR="003F0926" w:rsidRPr="009D16C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iCs/>
          <w:sz w:val="24"/>
          <w:szCs w:val="24"/>
          <w:lang w:val="sq-AL"/>
        </w:rPr>
        <w:t xml:space="preserve"> cilat mor</w:t>
      </w:r>
      <w:r w:rsidR="003F0926" w:rsidRPr="009D16C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iCs/>
          <w:sz w:val="24"/>
          <w:szCs w:val="24"/>
          <w:lang w:val="sq-AL"/>
        </w:rPr>
        <w:t>n pjes</w:t>
      </w:r>
      <w:r w:rsidR="003F0926" w:rsidRPr="009D16C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iCs/>
          <w:sz w:val="24"/>
          <w:szCs w:val="24"/>
          <w:lang w:val="sq-AL"/>
        </w:rPr>
        <w:t xml:space="preserve"> n</w:t>
      </w:r>
      <w:r w:rsidR="003F0926" w:rsidRPr="009D16C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iCs/>
          <w:sz w:val="24"/>
          <w:szCs w:val="24"/>
          <w:lang w:val="sq-AL"/>
        </w:rPr>
        <w:t xml:space="preserve"> hartimin e </w:t>
      </w:r>
      <w:r w:rsidR="00175D65" w:rsidRPr="009D16C4">
        <w:rPr>
          <w:rFonts w:ascii="Times New Roman" w:hAnsi="Times New Roman"/>
          <w:iCs/>
          <w:sz w:val="24"/>
          <w:szCs w:val="24"/>
          <w:lang w:val="sq-AL"/>
        </w:rPr>
        <w:t>k</w:t>
      </w:r>
      <w:r w:rsidR="003F0926" w:rsidRPr="009D16C4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D65" w:rsidRPr="009D16C4">
        <w:rPr>
          <w:rFonts w:ascii="Times New Roman" w:hAnsi="Times New Roman"/>
          <w:iCs/>
          <w:sz w:val="24"/>
          <w:szCs w:val="24"/>
          <w:lang w:val="sq-AL"/>
        </w:rPr>
        <w:t>t</w:t>
      </w:r>
      <w:r w:rsidRPr="009D16C4">
        <w:rPr>
          <w:rFonts w:ascii="Times New Roman" w:hAnsi="Times New Roman"/>
          <w:iCs/>
          <w:sz w:val="24"/>
          <w:szCs w:val="24"/>
          <w:lang w:val="sq-AL"/>
        </w:rPr>
        <w:t xml:space="preserve">ij </w:t>
      </w:r>
      <w:proofErr w:type="spellStart"/>
      <w:r w:rsidRPr="009D16C4">
        <w:rPr>
          <w:rFonts w:ascii="Times New Roman" w:hAnsi="Times New Roman"/>
          <w:iCs/>
          <w:sz w:val="24"/>
          <w:szCs w:val="24"/>
          <w:lang w:val="sq-AL"/>
        </w:rPr>
        <w:t>projektakti</w:t>
      </w:r>
      <w:proofErr w:type="spellEnd"/>
      <w:r w:rsidRPr="009D16C4">
        <w:rPr>
          <w:rFonts w:ascii="Times New Roman" w:hAnsi="Times New Roman"/>
          <w:iCs/>
          <w:sz w:val="24"/>
          <w:szCs w:val="24"/>
          <w:lang w:val="sq-AL"/>
        </w:rPr>
        <w:t xml:space="preserve"> jan</w:t>
      </w:r>
      <w:r w:rsidR="003F0926" w:rsidRPr="009D16C4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iCs/>
          <w:sz w:val="24"/>
          <w:szCs w:val="24"/>
          <w:lang w:val="sq-AL"/>
        </w:rPr>
        <w:t>:</w:t>
      </w:r>
    </w:p>
    <w:p w:rsidR="00E24303" w:rsidRPr="009D16C4" w:rsidRDefault="00132589" w:rsidP="00E1495B">
      <w:pPr>
        <w:pStyle w:val="ListParagraph"/>
        <w:numPr>
          <w:ilvl w:val="0"/>
          <w:numId w:val="8"/>
        </w:numPr>
        <w:tabs>
          <w:tab w:val="left" w:pos="7552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D16C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1495B" w:rsidRPr="009D16C4">
        <w:rPr>
          <w:rFonts w:ascii="Times New Roman" w:hAnsi="Times New Roman"/>
          <w:sz w:val="24"/>
          <w:szCs w:val="24"/>
          <w:lang w:val="sq-AL"/>
        </w:rPr>
        <w:t>Ministria e Mbrojtjes;</w:t>
      </w:r>
    </w:p>
    <w:p w:rsidR="00E1495B" w:rsidRPr="009D16C4" w:rsidRDefault="00132589" w:rsidP="00E1495B">
      <w:pPr>
        <w:pStyle w:val="ListParagraph"/>
        <w:numPr>
          <w:ilvl w:val="0"/>
          <w:numId w:val="8"/>
        </w:numPr>
        <w:tabs>
          <w:tab w:val="left" w:pos="7552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D16C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1495B" w:rsidRPr="009D16C4">
        <w:rPr>
          <w:rFonts w:ascii="Times New Roman" w:hAnsi="Times New Roman"/>
          <w:sz w:val="24"/>
          <w:szCs w:val="24"/>
          <w:lang w:val="sq-AL"/>
        </w:rPr>
        <w:t>Shtabi i Përgjithshëm i FARSH;</w:t>
      </w:r>
    </w:p>
    <w:p w:rsidR="00E1495B" w:rsidRPr="009D16C4" w:rsidRDefault="00132589" w:rsidP="00E1495B">
      <w:pPr>
        <w:pStyle w:val="ListParagraph"/>
        <w:numPr>
          <w:ilvl w:val="0"/>
          <w:numId w:val="8"/>
        </w:numPr>
        <w:tabs>
          <w:tab w:val="left" w:pos="7552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D16C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1495B" w:rsidRPr="009D16C4">
        <w:rPr>
          <w:rFonts w:ascii="Times New Roman" w:hAnsi="Times New Roman"/>
          <w:sz w:val="24"/>
          <w:szCs w:val="24"/>
          <w:lang w:val="sq-AL"/>
        </w:rPr>
        <w:t>Komanda e Forcës Tokësore;</w:t>
      </w:r>
    </w:p>
    <w:p w:rsidR="00E1495B" w:rsidRPr="009D16C4" w:rsidRDefault="00132589" w:rsidP="00E1495B">
      <w:pPr>
        <w:pStyle w:val="ListParagraph"/>
        <w:numPr>
          <w:ilvl w:val="0"/>
          <w:numId w:val="8"/>
        </w:numPr>
        <w:tabs>
          <w:tab w:val="left" w:pos="7552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D16C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1495B" w:rsidRPr="009D16C4">
        <w:rPr>
          <w:rFonts w:ascii="Times New Roman" w:hAnsi="Times New Roman"/>
          <w:sz w:val="24"/>
          <w:szCs w:val="24"/>
          <w:lang w:val="sq-AL"/>
        </w:rPr>
        <w:t>Komanda e Forcës Ajrore;</w:t>
      </w:r>
    </w:p>
    <w:p w:rsidR="00E1495B" w:rsidRPr="009D16C4" w:rsidRDefault="00132589" w:rsidP="00E1495B">
      <w:pPr>
        <w:pStyle w:val="ListParagraph"/>
        <w:numPr>
          <w:ilvl w:val="0"/>
          <w:numId w:val="8"/>
        </w:numPr>
        <w:tabs>
          <w:tab w:val="left" w:pos="7552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D16C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1495B" w:rsidRPr="009D16C4">
        <w:rPr>
          <w:rFonts w:ascii="Times New Roman" w:hAnsi="Times New Roman"/>
          <w:sz w:val="24"/>
          <w:szCs w:val="24"/>
          <w:lang w:val="sq-AL"/>
        </w:rPr>
        <w:t>Komanda e Forcës Detare;</w:t>
      </w:r>
    </w:p>
    <w:p w:rsidR="00E1495B" w:rsidRPr="009D16C4" w:rsidRDefault="00132589" w:rsidP="00E1495B">
      <w:pPr>
        <w:pStyle w:val="ListParagraph"/>
        <w:numPr>
          <w:ilvl w:val="0"/>
          <w:numId w:val="8"/>
        </w:numPr>
        <w:tabs>
          <w:tab w:val="left" w:pos="7552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D16C4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E1495B" w:rsidRPr="009D16C4">
        <w:rPr>
          <w:rFonts w:ascii="Times New Roman" w:hAnsi="Times New Roman"/>
          <w:iCs/>
          <w:sz w:val="24"/>
          <w:szCs w:val="24"/>
          <w:lang w:val="sq-AL"/>
        </w:rPr>
        <w:t>Komanda Mbështetëse;</w:t>
      </w:r>
    </w:p>
    <w:p w:rsidR="00E1495B" w:rsidRPr="0089749B" w:rsidRDefault="00E1495B" w:rsidP="0089749B">
      <w:pPr>
        <w:pStyle w:val="ListParagraph"/>
        <w:numPr>
          <w:ilvl w:val="0"/>
          <w:numId w:val="8"/>
        </w:numPr>
        <w:tabs>
          <w:tab w:val="left" w:pos="7552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D16C4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89749B">
        <w:rPr>
          <w:rFonts w:ascii="Times New Roman" w:hAnsi="Times New Roman"/>
          <w:iCs/>
          <w:sz w:val="24"/>
          <w:szCs w:val="24"/>
          <w:lang w:val="sq-AL"/>
        </w:rPr>
        <w:t>Agjencia e Inteligjencës dhe Sigurisë së Mbrojtjes</w:t>
      </w:r>
    </w:p>
    <w:p w:rsidR="0089749B" w:rsidRPr="009D16C4" w:rsidRDefault="0089749B" w:rsidP="0089749B">
      <w:pPr>
        <w:pStyle w:val="ListParagraph"/>
        <w:tabs>
          <w:tab w:val="left" w:pos="7552"/>
        </w:tabs>
        <w:spacing w:after="0"/>
        <w:ind w:left="720" w:firstLine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7773E" w:rsidRPr="009D16C4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9D16C4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:rsidR="00C7773E" w:rsidRPr="009D16C4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9D16C4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994E6F" w:rsidRPr="009D16C4">
        <w:rPr>
          <w:rFonts w:ascii="Times New Roman" w:hAnsi="Times New Roman"/>
          <w:i/>
          <w:iCs/>
          <w:sz w:val="24"/>
          <w:szCs w:val="24"/>
          <w:lang w:val="sq-AL"/>
        </w:rPr>
        <w:t>i</w:t>
      </w:r>
      <w:r w:rsidRPr="009D16C4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:rsidR="00C7773E" w:rsidRPr="009D16C4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9D16C4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:rsidR="00C7773E" w:rsidRPr="009D16C4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9D16C4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:rsidR="00175D65" w:rsidRPr="009D16C4" w:rsidRDefault="00175D65" w:rsidP="00C7773E">
      <w:pPr>
        <w:pStyle w:val="BodyText"/>
        <w:jc w:val="both"/>
        <w:rPr>
          <w:rFonts w:ascii="Times New Roman" w:hAnsi="Times New Roman"/>
          <w:sz w:val="8"/>
          <w:szCs w:val="24"/>
          <w:lang w:val="sq-AL"/>
        </w:rPr>
      </w:pPr>
    </w:p>
    <w:p w:rsidR="00175D65" w:rsidRPr="009D16C4" w:rsidRDefault="00175D65" w:rsidP="00C7773E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9D16C4">
        <w:rPr>
          <w:rFonts w:ascii="Times New Roman" w:hAnsi="Times New Roman"/>
          <w:sz w:val="24"/>
          <w:szCs w:val="24"/>
          <w:lang w:val="sq-AL"/>
        </w:rPr>
        <w:t>N</w:t>
      </w:r>
      <w:r w:rsidR="003F0926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tabel</w:t>
      </w:r>
      <w:r w:rsidR="003F0926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>n e m</w:t>
      </w:r>
      <w:r w:rsidR="003F0926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>poshtme paraqiten komentet e pranuara plot</w:t>
      </w:r>
      <w:r w:rsidR="003F0926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>sisht</w:t>
      </w:r>
      <w:r w:rsidR="004C337A">
        <w:rPr>
          <w:rFonts w:ascii="Times New Roman" w:hAnsi="Times New Roman"/>
          <w:sz w:val="24"/>
          <w:szCs w:val="24"/>
          <w:lang w:val="sq-AL"/>
        </w:rPr>
        <w:t xml:space="preserve"> (2 komente),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pjes</w:t>
      </w:r>
      <w:r w:rsidR="003F0926" w:rsidRPr="009D16C4">
        <w:rPr>
          <w:rFonts w:ascii="Times New Roman" w:hAnsi="Times New Roman"/>
          <w:sz w:val="24"/>
          <w:szCs w:val="24"/>
          <w:lang w:val="sq-AL"/>
        </w:rPr>
        <w:t>ë</w:t>
      </w:r>
      <w:r w:rsidR="00315A5E" w:rsidRPr="009D16C4">
        <w:rPr>
          <w:rFonts w:ascii="Times New Roman" w:hAnsi="Times New Roman"/>
          <w:sz w:val="24"/>
          <w:szCs w:val="24"/>
          <w:lang w:val="sq-AL"/>
        </w:rPr>
        <w:t>rish</w:t>
      </w:r>
      <w:r w:rsidR="00762958">
        <w:rPr>
          <w:rFonts w:ascii="Times New Roman" w:hAnsi="Times New Roman"/>
          <w:sz w:val="24"/>
          <w:szCs w:val="24"/>
          <w:lang w:val="sq-AL"/>
        </w:rPr>
        <w:t>t</w:t>
      </w:r>
      <w:r w:rsidR="004C337A">
        <w:rPr>
          <w:rFonts w:ascii="Times New Roman" w:hAnsi="Times New Roman"/>
          <w:sz w:val="24"/>
          <w:szCs w:val="24"/>
          <w:lang w:val="sq-AL"/>
        </w:rPr>
        <w:t xml:space="preserve"> (0 komente) dhe refuzuar (5 komente) </w:t>
      </w:r>
      <w:r w:rsidRPr="009D16C4">
        <w:rPr>
          <w:rFonts w:ascii="Times New Roman" w:hAnsi="Times New Roman"/>
          <w:sz w:val="24"/>
          <w:szCs w:val="24"/>
          <w:lang w:val="sq-AL"/>
        </w:rPr>
        <w:t>n</w:t>
      </w:r>
      <w:r w:rsidR="003F0926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lidhje me k</w:t>
      </w:r>
      <w:r w:rsidR="003F0926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>t</w:t>
      </w:r>
      <w:r w:rsidR="003F0926" w:rsidRPr="009D16C4">
        <w:rPr>
          <w:rFonts w:ascii="Times New Roman" w:hAnsi="Times New Roman"/>
          <w:sz w:val="24"/>
          <w:szCs w:val="24"/>
          <w:lang w:val="sq-AL"/>
        </w:rPr>
        <w:t>ë</w:t>
      </w:r>
      <w:r w:rsidRPr="009D16C4">
        <w:rPr>
          <w:rFonts w:ascii="Times New Roman" w:hAnsi="Times New Roman"/>
          <w:sz w:val="24"/>
          <w:szCs w:val="24"/>
          <w:lang w:val="sq-AL"/>
        </w:rPr>
        <w:t xml:space="preserve"> projektligj</w:t>
      </w:r>
      <w:r w:rsidR="00315A5E" w:rsidRPr="009D16C4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45"/>
        <w:gridCol w:w="1687"/>
        <w:gridCol w:w="1373"/>
        <w:gridCol w:w="2610"/>
      </w:tblGrid>
      <w:tr w:rsidR="000E6C95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8B17B9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0" w:name="_GoBack" w:colFirst="0" w:colLast="4"/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:rsidR="00C7773E" w:rsidRPr="008B17B9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proofErr w:type="spellStart"/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psh</w:t>
            </w:r>
            <w:proofErr w:type="spellEnd"/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8B17B9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:rsidR="00C7773E" w:rsidRPr="008B17B9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8B17B9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8B17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8B17B9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Vendimi (</w:t>
            </w:r>
            <w:r w:rsidR="00FA03E9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pranuar/</w:t>
            </w:r>
            <w:r w:rsidR="00FA03E9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pranuar pjesërisht/</w:t>
            </w:r>
            <w:r w:rsidR="00FA03E9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refuzuar)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3E" w:rsidRPr="008B17B9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9867FF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A" w:rsidRPr="008B17B9" w:rsidRDefault="00D3328A" w:rsidP="00D6056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D6056D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nenin 4, pas fjal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 "specializuar" t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shtohen fjal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t "p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 veprime policore".</w:t>
            </w:r>
          </w:p>
          <w:p w:rsidR="000E1FF4" w:rsidRPr="008B17B9" w:rsidRDefault="000E1FF4" w:rsidP="003B501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5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personelit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A" w:rsidRPr="008B17B9" w:rsidRDefault="00363BED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Pranuar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8D" w:rsidRPr="008B17B9" w:rsidRDefault="008B17B9" w:rsidP="00FA03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Sugjerimi u konsiderua i drejtë dhe u reflektua në përmbajtjen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projektaktit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9C2321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21" w:rsidRPr="008B17B9" w:rsidRDefault="009C2321" w:rsidP="00022F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D6056D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nenin 41, pika 3, fjal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t "n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mas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 e gjysm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 s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pag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 mujore" t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ndryshohet dhe 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b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het "n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mas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 e pag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 mujore"  (propozim i p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rbashk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t me seksionin e financ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 s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PU).</w:t>
            </w:r>
          </w:p>
          <w:p w:rsidR="009C2321" w:rsidRPr="008B17B9" w:rsidRDefault="009C2321" w:rsidP="00022F08">
            <w:pPr>
              <w:pStyle w:val="BodyText"/>
              <w:tabs>
                <w:tab w:val="clear" w:pos="567"/>
                <w:tab w:val="left" w:pos="24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3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personelit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21" w:rsidRPr="008B17B9" w:rsidRDefault="00363BED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Pranuar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21" w:rsidRPr="008B17B9" w:rsidRDefault="008B17B9" w:rsidP="00FA03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Sugjerimi u konsiderua i drejt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u reflektua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rmbajtjen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projektaktit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9C2321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21" w:rsidRPr="008B17B9" w:rsidRDefault="009C2321" w:rsidP="0031728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D6056D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nenin 3 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as fjal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 "sh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rbim" t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shtohet dhe fjala "st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rvitje".</w:t>
            </w:r>
          </w:p>
          <w:p w:rsidR="009C2321" w:rsidRPr="008B17B9" w:rsidRDefault="009C2321" w:rsidP="008F31D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21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operacioneve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21" w:rsidRPr="008B17B9" w:rsidRDefault="00363BED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Pranuar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21" w:rsidRPr="008B17B9" w:rsidRDefault="008B17B9" w:rsidP="003964D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Sugjerimi u konsiderua i drejt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u reflektua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rmbajtjen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projektaktit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946DEB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B" w:rsidRPr="008B17B9" w:rsidRDefault="00946DEB" w:rsidP="004D667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D605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Në germën “k”, të nenit 33, shtohet fjalia “lista e personave  dhe funksioneve që gëzojnë të drejtën e shoqërimit dhe sigurimit nga Policia Ushtarake, përcaktohet me urdhër të shefit të 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htabit të 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ërgjithshëm të 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F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orcave të 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A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rmatosura’.</w:t>
            </w:r>
          </w:p>
          <w:p w:rsidR="00D6056D" w:rsidRPr="008B17B9" w:rsidRDefault="00D6056D" w:rsidP="00D6056D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  <w:p w:rsidR="00946DEB" w:rsidRPr="008B17B9" w:rsidRDefault="00946DEB" w:rsidP="003B501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B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operacioneve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B" w:rsidRPr="008B17B9" w:rsidRDefault="00363BED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Refuzuar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B" w:rsidRPr="008B17B9" w:rsidRDefault="00DB415B" w:rsidP="00DB415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Ky sugjerim</w:t>
            </w:r>
            <w:r w:rsidR="00A176AD"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>u pranua nga grupi i punës por në fazën e bashkërendimit me ministritë e linjës u kundërshtua nga MFE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:rsidR="00A176AD" w:rsidRPr="008B17B9" w:rsidRDefault="00A176AD" w:rsidP="00DB415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6DEB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B" w:rsidRPr="008B17B9" w:rsidRDefault="00946DEB" w:rsidP="00437F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B" w:rsidRPr="008B17B9" w:rsidRDefault="00D6056D" w:rsidP="00625DFA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nenin 7, pas </w:t>
            </w:r>
            <w:r w:rsidR="00363BED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togfjalëshit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"me veprimet e tyre..."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t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shtohet togfjal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shi "ose mosveprimet e tyre...".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B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PK dhe PGJ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B" w:rsidRPr="008B17B9" w:rsidRDefault="00363BED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Pranuar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B" w:rsidRPr="008B17B9" w:rsidRDefault="008B17B9" w:rsidP="003964D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Sugjerimi u konsiderua i drejt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u reflektua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rmbajtjen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projektaktit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D6056D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437F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625DFA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nenin 10, pika 4 em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rtimi "grada" t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z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vend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sohet me em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rtimin "funksionet".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PK dhe PGJ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363BED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Refuzuar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363BED" w:rsidP="008B17B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Ësht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shfuqizuar si pik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projektligjin e ri me argumentin se me miratimin e ligjit 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nr. 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25/2019 “P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r policin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gjyq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sore” i ndryshuar kjo dispozit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 r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176AD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dhe 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ka arsye të </w:t>
            </w:r>
            <w:proofErr w:type="spellStart"/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>bëheb</w:t>
            </w:r>
            <w:proofErr w:type="spellEnd"/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përcaktime shtesë në projektligjin tonë.</w:t>
            </w:r>
          </w:p>
        </w:tc>
      </w:tr>
      <w:tr w:rsidR="00D6056D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437F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D605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Në pikën 3, të nenit 18, fjalët “..me udhëzim të përbashkët të Ministrit të Mbrojtjes dhe Prokurorit të Përgjithshëm ...” 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zëvendësohen me fjalët “...me udhëzim të Ministrit të Mbrojtjes...”</w:t>
            </w:r>
            <w:r w:rsidRPr="008B17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 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PK dhe PGJ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B415B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Refuzuar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8B17B9" w:rsidP="008B17B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Ky sugjerim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u pranua nga grupi i pun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 por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faz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e bashk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rendimit me </w:t>
            </w:r>
            <w:r w:rsidR="00F220CC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Prokurori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 w:rsidR="00F220CC"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Përgjithshme dhe MD, u kundërshtua</w:t>
            </w:r>
            <w:r w:rsidR="00F220CC"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me argumentin se bie ndesh me</w:t>
            </w:r>
            <w:r w:rsidR="00F220CC"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parimet kushtetuese </w:t>
            </w:r>
            <w:r w:rsidR="00F220CC" w:rsidRPr="008B17B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dhe lirit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220CC"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të drejtat </w:t>
            </w:r>
            <w:r w:rsidR="00F220CC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e njeriut.</w:t>
            </w:r>
          </w:p>
        </w:tc>
      </w:tr>
      <w:tr w:rsidR="00D6056D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437F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D6056D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Në pikën 3, të nenit 20, fjalët  “miratohen me udhëzim të përbashkët të Ministrit të mbrojtjes dhe prokurorit të përgjithshëm”  zëvendësohet me togfjalëshin “... me udhëzim të Ministrit të Mbrojtjes”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PK dhe PGJ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234E80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Refuzuar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8B17B9" w:rsidP="000179C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 njëjti argument si më sipër.</w:t>
            </w:r>
          </w:p>
        </w:tc>
      </w:tr>
      <w:tr w:rsidR="00D6056D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437F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625D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Pas germ</w:t>
            </w:r>
            <w:r w:rsidR="00625DFA"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 “c” të nenit 21  të shtohet germa “d”  me këtë përmbajtje d “për të dhënë deklarime rreth rrethanave të ngjarje”.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PK dhe PGJ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234E80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8B17B9" w:rsidP="000179C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Sugjerimi u konsiderua i drejt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u reflektua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rmbajtjen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projektaktit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D6056D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437F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D605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Në germën “b” të pikës 1, të nenit 29,  pas  fjalëve “ të ndaluar” të shtohet togfjalëshi “ plotëson në sistemin përkatës të policisë së shtetit..”.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PK dhe PGJ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66474F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Pranuar pjesërisht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66474F" w:rsidP="008B17B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Ky sugjerim është pranuar pjesërisht 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>në përputhje me sugjerimit e MB dhe MD.</w:t>
            </w:r>
          </w:p>
        </w:tc>
      </w:tr>
      <w:tr w:rsidR="00D6056D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437F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D605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Në germën “f”, të nenit 33,  togfjalëshi "mbron pronën shtetërore në administrim dhe përdorim të forcave të armatosura të Republikës së Shqipërisë nga veprimtari të kundërligjshme ” zëvendësohet me togfjalëshin “ mbështet mbrojtjen e pronës dhe pasurisë shtetërore në administrim dhe përdorim të Ministrisë së Mbrojtjes dhe të forcave të </w:t>
            </w: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armatosura të Republikës së Shqipërisë nga veprimtari të kundërligjshme.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PK dhe PGJ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B93D27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Pranuar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8B17B9" w:rsidP="000179C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Sugjerimi u konsiderua i drejt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u reflektua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rmbajtjen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projektaktit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D6056D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437F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D605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Pas pikës 3 të nenit 36 shtohet pika 4 me këtë përmbajtje:</w:t>
            </w:r>
          </w:p>
          <w:p w:rsidR="00D6056D" w:rsidRPr="008B17B9" w:rsidRDefault="00D6056D" w:rsidP="00D605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4. Policia ushtarake nuk mund të japë informacion për çështje në hetim gjatë fazës së hetimeve paraprake për procedimet penale të regjistruara në prokuroritë përkatëse sipas kodit të procedurës penale.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PK dhe PGJ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797C94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Pranuar </w:t>
            </w:r>
            <w:r w:rsidR="0066474F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pjesërisht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66474F" w:rsidP="008B17B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Ky propoz</w:t>
            </w:r>
            <w:r w:rsidR="006015CE"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im 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mund të pranohej plotësisht pasi bie në kundërshtim </w:t>
            </w:r>
            <w:r w:rsidR="006015CE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me legjislacionin fuqi</w:t>
            </w:r>
            <w:r w:rsidR="008B17B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D6056D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437F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D605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Pika 1 e nenit 39, ndryshon dhe bëhet:</w:t>
            </w:r>
          </w:p>
          <w:p w:rsidR="00D6056D" w:rsidRPr="008B17B9" w:rsidRDefault="00D6056D" w:rsidP="00D605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“Gjatë përmbushjes së detyrave të caktuara me ligj, punonjësi i policisë ushtarake zbaton rregulloren e brendshme të policisë ushtarake të miratuar me urdhër të Ministrit të mbrojtjes”</w:t>
            </w:r>
          </w:p>
          <w:p w:rsidR="00D6056D" w:rsidRPr="008B17B9" w:rsidRDefault="00D6056D" w:rsidP="00D6056D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rendit ushtarak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66474F" w:rsidP="006647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Pranuar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8B17B9" w:rsidP="000179C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Sugjerimi u konsiderua i drejt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u reflektua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rmbajtjen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projektaktit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D6056D" w:rsidRPr="00A91653" w:rsidTr="00946D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437F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D605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Germa “n”, e nenit 33, ndryshon dhe bëhet:</w:t>
            </w:r>
          </w:p>
          <w:p w:rsidR="00D6056D" w:rsidRPr="008B17B9" w:rsidRDefault="00D6056D" w:rsidP="00D605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“kontrollon masat parandaluese, jep asistencë teknike dhe ndërhyn për forcimin e masave dhe   zbatimin e legjislacionit në fuqi për  mbrojtjen nga zjarri”.</w:t>
            </w:r>
          </w:p>
          <w:p w:rsidR="00D6056D" w:rsidRPr="008B17B9" w:rsidRDefault="00D6056D" w:rsidP="00D605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D6056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Nj</w:t>
            </w:r>
            <w:r w:rsidR="00625DFA" w:rsidRPr="008B17B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>sia e MNZSH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66474F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17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Pranuar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D" w:rsidRPr="008B17B9" w:rsidRDefault="008B17B9" w:rsidP="000179C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Sugjerimi u konsiderua i drejt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u reflektua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rmbajtjen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projektaktit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bookmarkEnd w:id="0"/>
    </w:tbl>
    <w:p w:rsidR="00946DEB" w:rsidRPr="009D16C4" w:rsidRDefault="00946DEB">
      <w:pPr>
        <w:rPr>
          <w:rFonts w:ascii="Times New Roman" w:hAnsi="Times New Roman"/>
          <w:sz w:val="24"/>
          <w:szCs w:val="24"/>
          <w:lang w:val="sq-AL"/>
        </w:rPr>
      </w:pPr>
    </w:p>
    <w:sectPr w:rsidR="00946DEB" w:rsidRPr="009D16C4" w:rsidSect="000E6C95">
      <w:pgSz w:w="11900" w:h="16840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89" w:rsidRDefault="00D83389" w:rsidP="002E4815">
      <w:r>
        <w:separator/>
      </w:r>
    </w:p>
  </w:endnote>
  <w:endnote w:type="continuationSeparator" w:id="0">
    <w:p w:rsidR="00D83389" w:rsidRDefault="00D83389" w:rsidP="002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89" w:rsidRDefault="00D83389" w:rsidP="002E4815">
      <w:r>
        <w:separator/>
      </w:r>
    </w:p>
  </w:footnote>
  <w:footnote w:type="continuationSeparator" w:id="0">
    <w:p w:rsidR="00D83389" w:rsidRDefault="00D83389" w:rsidP="002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6DF0"/>
    <w:multiLevelType w:val="hybridMultilevel"/>
    <w:tmpl w:val="E3B07AA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C90512"/>
    <w:multiLevelType w:val="hybridMultilevel"/>
    <w:tmpl w:val="5F1047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D442F7"/>
    <w:multiLevelType w:val="hybridMultilevel"/>
    <w:tmpl w:val="2EAE2E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8073AE"/>
    <w:multiLevelType w:val="hybridMultilevel"/>
    <w:tmpl w:val="85EE9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D03CA"/>
    <w:multiLevelType w:val="hybridMultilevel"/>
    <w:tmpl w:val="09C4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DA1DFE"/>
    <w:multiLevelType w:val="hybridMultilevel"/>
    <w:tmpl w:val="C032D4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1625A6"/>
    <w:multiLevelType w:val="hybridMultilevel"/>
    <w:tmpl w:val="FAB0B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3E"/>
    <w:rsid w:val="000179C5"/>
    <w:rsid w:val="00022F08"/>
    <w:rsid w:val="00035806"/>
    <w:rsid w:val="000941AF"/>
    <w:rsid w:val="0009522E"/>
    <w:rsid w:val="000B0465"/>
    <w:rsid w:val="000E1FF4"/>
    <w:rsid w:val="000E6C95"/>
    <w:rsid w:val="00132589"/>
    <w:rsid w:val="00147663"/>
    <w:rsid w:val="001515FB"/>
    <w:rsid w:val="00151974"/>
    <w:rsid w:val="00155341"/>
    <w:rsid w:val="00165E4B"/>
    <w:rsid w:val="00175D65"/>
    <w:rsid w:val="00175EA0"/>
    <w:rsid w:val="001A235D"/>
    <w:rsid w:val="001A369B"/>
    <w:rsid w:val="001B6141"/>
    <w:rsid w:val="001E5618"/>
    <w:rsid w:val="001E774C"/>
    <w:rsid w:val="00210CF6"/>
    <w:rsid w:val="00216E92"/>
    <w:rsid w:val="00221040"/>
    <w:rsid w:val="00221C78"/>
    <w:rsid w:val="00234E80"/>
    <w:rsid w:val="00264A1A"/>
    <w:rsid w:val="00270375"/>
    <w:rsid w:val="00270CB2"/>
    <w:rsid w:val="002831E8"/>
    <w:rsid w:val="002A239F"/>
    <w:rsid w:val="002C2862"/>
    <w:rsid w:val="002D5D0C"/>
    <w:rsid w:val="002E4815"/>
    <w:rsid w:val="002F7C11"/>
    <w:rsid w:val="00301134"/>
    <w:rsid w:val="00315A5E"/>
    <w:rsid w:val="0031728D"/>
    <w:rsid w:val="00363BED"/>
    <w:rsid w:val="00365667"/>
    <w:rsid w:val="003964D4"/>
    <w:rsid w:val="003A19ED"/>
    <w:rsid w:val="003B501D"/>
    <w:rsid w:val="003C2D46"/>
    <w:rsid w:val="003F0191"/>
    <w:rsid w:val="003F0926"/>
    <w:rsid w:val="004231F0"/>
    <w:rsid w:val="00426D3F"/>
    <w:rsid w:val="00433550"/>
    <w:rsid w:val="00437FC9"/>
    <w:rsid w:val="0044718B"/>
    <w:rsid w:val="00494809"/>
    <w:rsid w:val="004C337A"/>
    <w:rsid w:val="004D6674"/>
    <w:rsid w:val="004F369C"/>
    <w:rsid w:val="00510F7A"/>
    <w:rsid w:val="005413D9"/>
    <w:rsid w:val="005437BD"/>
    <w:rsid w:val="00553ADD"/>
    <w:rsid w:val="00586420"/>
    <w:rsid w:val="005A7C7D"/>
    <w:rsid w:val="005B160F"/>
    <w:rsid w:val="005E6BF0"/>
    <w:rsid w:val="005F29B9"/>
    <w:rsid w:val="006015CE"/>
    <w:rsid w:val="00625DFA"/>
    <w:rsid w:val="0062606C"/>
    <w:rsid w:val="00641F26"/>
    <w:rsid w:val="0066474F"/>
    <w:rsid w:val="0066695F"/>
    <w:rsid w:val="00684EBE"/>
    <w:rsid w:val="006902BD"/>
    <w:rsid w:val="006949E8"/>
    <w:rsid w:val="006F0D80"/>
    <w:rsid w:val="006F43B1"/>
    <w:rsid w:val="006F52C7"/>
    <w:rsid w:val="00756417"/>
    <w:rsid w:val="00762958"/>
    <w:rsid w:val="007630B7"/>
    <w:rsid w:val="00797C94"/>
    <w:rsid w:val="007B1C7D"/>
    <w:rsid w:val="00803AFB"/>
    <w:rsid w:val="00844D2A"/>
    <w:rsid w:val="0089749B"/>
    <w:rsid w:val="008A4516"/>
    <w:rsid w:val="008B17B9"/>
    <w:rsid w:val="008B69B8"/>
    <w:rsid w:val="008F1149"/>
    <w:rsid w:val="008F31DF"/>
    <w:rsid w:val="008F7BD8"/>
    <w:rsid w:val="0090317F"/>
    <w:rsid w:val="00922DC1"/>
    <w:rsid w:val="0093073B"/>
    <w:rsid w:val="00946DEB"/>
    <w:rsid w:val="009776B1"/>
    <w:rsid w:val="00984BFB"/>
    <w:rsid w:val="009867FF"/>
    <w:rsid w:val="00994E6F"/>
    <w:rsid w:val="009B2035"/>
    <w:rsid w:val="009B3F8B"/>
    <w:rsid w:val="009C2321"/>
    <w:rsid w:val="009C7220"/>
    <w:rsid w:val="009D16C4"/>
    <w:rsid w:val="009D2A01"/>
    <w:rsid w:val="00A176AD"/>
    <w:rsid w:val="00A22CEC"/>
    <w:rsid w:val="00A70A48"/>
    <w:rsid w:val="00A75AF4"/>
    <w:rsid w:val="00A91653"/>
    <w:rsid w:val="00A9178C"/>
    <w:rsid w:val="00AD49F8"/>
    <w:rsid w:val="00AF5AB1"/>
    <w:rsid w:val="00B224DD"/>
    <w:rsid w:val="00B26839"/>
    <w:rsid w:val="00B434C4"/>
    <w:rsid w:val="00B53FEE"/>
    <w:rsid w:val="00B57711"/>
    <w:rsid w:val="00B61E76"/>
    <w:rsid w:val="00B73202"/>
    <w:rsid w:val="00B81668"/>
    <w:rsid w:val="00B81CA0"/>
    <w:rsid w:val="00B8476D"/>
    <w:rsid w:val="00B93D27"/>
    <w:rsid w:val="00BD5A78"/>
    <w:rsid w:val="00BE4DF3"/>
    <w:rsid w:val="00BE76D7"/>
    <w:rsid w:val="00C244F3"/>
    <w:rsid w:val="00C45848"/>
    <w:rsid w:val="00C675C1"/>
    <w:rsid w:val="00C7773E"/>
    <w:rsid w:val="00C9763B"/>
    <w:rsid w:val="00CA76FF"/>
    <w:rsid w:val="00CD0024"/>
    <w:rsid w:val="00CD13BB"/>
    <w:rsid w:val="00CD3FB0"/>
    <w:rsid w:val="00D32616"/>
    <w:rsid w:val="00D3328A"/>
    <w:rsid w:val="00D37FAB"/>
    <w:rsid w:val="00D6056D"/>
    <w:rsid w:val="00D62218"/>
    <w:rsid w:val="00D678C7"/>
    <w:rsid w:val="00D72B5C"/>
    <w:rsid w:val="00D83389"/>
    <w:rsid w:val="00D91B0E"/>
    <w:rsid w:val="00D96B07"/>
    <w:rsid w:val="00DA0F0F"/>
    <w:rsid w:val="00DB2DC8"/>
    <w:rsid w:val="00DB415B"/>
    <w:rsid w:val="00DE3933"/>
    <w:rsid w:val="00E1495B"/>
    <w:rsid w:val="00E20F11"/>
    <w:rsid w:val="00E221FA"/>
    <w:rsid w:val="00E23EE7"/>
    <w:rsid w:val="00E24303"/>
    <w:rsid w:val="00E57AF7"/>
    <w:rsid w:val="00E65749"/>
    <w:rsid w:val="00E81988"/>
    <w:rsid w:val="00E87175"/>
    <w:rsid w:val="00E96B2B"/>
    <w:rsid w:val="00EE2AE0"/>
    <w:rsid w:val="00EF0309"/>
    <w:rsid w:val="00EF136F"/>
    <w:rsid w:val="00F077CE"/>
    <w:rsid w:val="00F12B43"/>
    <w:rsid w:val="00F220CC"/>
    <w:rsid w:val="00F34E7A"/>
    <w:rsid w:val="00F567CB"/>
    <w:rsid w:val="00F63DA0"/>
    <w:rsid w:val="00F72353"/>
    <w:rsid w:val="00F96140"/>
    <w:rsid w:val="00FA03E9"/>
    <w:rsid w:val="00FD0B7D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D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D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D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DD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E6C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D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D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D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DD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E6C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sultim.publik@mod.gov.al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konsultimipublik.gov.al/Konsultime/Detaje/40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0x00A80350C087A75540B27E2ABAE4FFB45A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A80350C087A75540B27E2ABAE4FFB45A" ma:contentTypeVersion="" ma:contentTypeDescription="" ma:contentTypeScope="" ma:versionID="9c6856b75525b826560da5474788c9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EC93C-695F-4C78-A57B-E6E8DB3B5F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90532F-CAB4-4222-9558-83EDB27F7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Konsultimi Publik</vt:lpstr>
    </vt:vector>
  </TitlesOfParts>
  <Company>Microsoft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Konsultimi Publik</dc:title>
  <dc:creator>Igor Vidačak</dc:creator>
  <cp:lastModifiedBy>Sp1 Programim Hartim Harmonizim Akte Rregullatore</cp:lastModifiedBy>
  <cp:revision>2</cp:revision>
  <cp:lastPrinted>2020-11-02T08:54:00Z</cp:lastPrinted>
  <dcterms:created xsi:type="dcterms:W3CDTF">2022-01-31T10:55:00Z</dcterms:created>
  <dcterms:modified xsi:type="dcterms:W3CDTF">2022-01-31T10:55:00Z</dcterms:modified>
</cp:coreProperties>
</file>